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1F2" w:rsidRPr="00160511" w:rsidRDefault="002821F2" w:rsidP="002821F2">
      <w:pPr>
        <w:spacing w:after="240" w:line="200" w:lineRule="atLeast"/>
        <w:rPr>
          <w:b/>
          <w:sz w:val="28"/>
          <w:szCs w:val="28"/>
        </w:rPr>
      </w:pPr>
      <w:proofErr w:type="spellStart"/>
      <w:r>
        <w:rPr>
          <w:b/>
          <w:sz w:val="28"/>
          <w:szCs w:val="28"/>
        </w:rPr>
        <w:t>Achema</w:t>
      </w:r>
      <w:proofErr w:type="spellEnd"/>
      <w:r>
        <w:rPr>
          <w:b/>
          <w:sz w:val="28"/>
          <w:szCs w:val="28"/>
        </w:rPr>
        <w:t xml:space="preserve"> </w:t>
      </w:r>
    </w:p>
    <w:p w:rsidR="002821F2" w:rsidRPr="00333D3C" w:rsidRDefault="002821F2" w:rsidP="002821F2">
      <w:pPr>
        <w:spacing w:after="240" w:line="200" w:lineRule="atLeast"/>
        <w:rPr>
          <w:b/>
          <w:spacing w:val="-6"/>
          <w:sz w:val="50"/>
          <w:szCs w:val="50"/>
        </w:rPr>
      </w:pPr>
      <w:r w:rsidRPr="00333D3C">
        <w:rPr>
          <w:b/>
          <w:spacing w:val="-6"/>
          <w:sz w:val="50"/>
          <w:szCs w:val="50"/>
        </w:rPr>
        <w:t>Richtungsweisende Druckluftlösungen</w:t>
      </w:r>
    </w:p>
    <w:p w:rsidR="002821F2" w:rsidRPr="00333D3C" w:rsidRDefault="002821F2" w:rsidP="002821F2">
      <w:pPr>
        <w:spacing w:after="240" w:line="200" w:lineRule="atLeast"/>
        <w:ind w:right="139"/>
        <w:rPr>
          <w:b/>
          <w:szCs w:val="24"/>
        </w:rPr>
      </w:pPr>
      <w:r>
        <w:rPr>
          <w:b/>
          <w:szCs w:val="24"/>
        </w:rPr>
        <w:t>I</w:t>
      </w:r>
      <w:r w:rsidRPr="00333D3C">
        <w:rPr>
          <w:b/>
          <w:szCs w:val="24"/>
        </w:rPr>
        <w:t xml:space="preserve">n Zeiten gestiegener Energiepreise spielt bei der Bereitstellung von Prozessluft eine hohe Energieeffizienz eine entscheidende Rolle. Ob Großanlagenbau oder Laborbereich die Erzeugung der Druckluft muss wirtschaftlich und die Versorgung zuverlässig sein. Auf der </w:t>
      </w:r>
      <w:proofErr w:type="spellStart"/>
      <w:r w:rsidRPr="00333D3C">
        <w:rPr>
          <w:b/>
          <w:szCs w:val="24"/>
        </w:rPr>
        <w:t>Achema</w:t>
      </w:r>
      <w:proofErr w:type="spellEnd"/>
      <w:r w:rsidRPr="00333D3C">
        <w:rPr>
          <w:b/>
          <w:szCs w:val="24"/>
        </w:rPr>
        <w:t xml:space="preserve"> zeigt Kaeser Kompressoren effiziente Druckluftsysteme und nachhaltige Technologien für die Druckluftversorgung von morgen.</w:t>
      </w:r>
    </w:p>
    <w:p w:rsidR="002821F2" w:rsidRDefault="002821F2" w:rsidP="002821F2">
      <w:pPr>
        <w:spacing w:after="240" w:line="200" w:lineRule="atLeast"/>
        <w:ind w:right="139"/>
      </w:pPr>
      <w:r>
        <w:t xml:space="preserve">Mit den neuen </w:t>
      </w:r>
      <w:proofErr w:type="spellStart"/>
      <w:r>
        <w:t>ölfrei</w:t>
      </w:r>
      <w:proofErr w:type="spellEnd"/>
      <w:r>
        <w:t xml:space="preserve"> verdichtenden Schraubenkompressoren der Serie CSG präsentieren wir zukunftssichere Lösungen für höchste Industriestandards der Klasse 0. Zudem setzt Kaeser mit der ISO 22000-Zertifizierung neue Maßstäbe in Sachen: Produktsicherheit, Qualität, Hygiene und Prozesszuverlässigkeit. </w:t>
      </w:r>
      <w:r w:rsidRPr="00333D3C">
        <w:t xml:space="preserve">Die wassergekühlte CSG mit </w:t>
      </w:r>
      <w:proofErr w:type="spellStart"/>
      <w:r w:rsidRPr="00333D3C">
        <w:t>i.HOC</w:t>
      </w:r>
      <w:proofErr w:type="spellEnd"/>
      <w:r w:rsidRPr="00333D3C">
        <w:t xml:space="preserve"> und integrierter Wärmerückgewinnung nutzt die anfallende </w:t>
      </w:r>
      <w:proofErr w:type="spellStart"/>
      <w:r w:rsidRPr="00333D3C">
        <w:t>Kompressorwärme</w:t>
      </w:r>
      <w:proofErr w:type="spellEnd"/>
      <w:r w:rsidRPr="00333D3C">
        <w:t xml:space="preserve"> gleich zweimal und ist damit besonders wirtschaftlich und nachhaltig.</w:t>
      </w:r>
    </w:p>
    <w:p w:rsidR="002821F2" w:rsidRDefault="002821F2" w:rsidP="002821F2">
      <w:pPr>
        <w:spacing w:after="240" w:line="200" w:lineRule="atLeast"/>
        <w:ind w:right="139"/>
      </w:pPr>
      <w:r>
        <w:t>Die Schraubengebläse der Serien EBS und GBS setzen ebenso neue Maßstäbe in Sachen Energieeinsparung und Platzbedarf. Als Komplettlösung mit Leistungselektrik und Anlagensteuerung sind die Gebläse zeit- und kostensparend in Betrieb zu nehmen.</w:t>
      </w:r>
    </w:p>
    <w:p w:rsidR="002821F2" w:rsidRDefault="002821F2" w:rsidP="002821F2">
      <w:pPr>
        <w:spacing w:after="240" w:line="200" w:lineRule="atLeast"/>
        <w:ind w:right="139"/>
      </w:pPr>
      <w:r>
        <w:t>Ein weiterer Schwerpunkt liegt auf dem Druckluftmanagement-System Sigma Air Manager 4.0. Die intelligente Steuerung dirigiert den Betrieb von mehreren Gebläsen und Kompressoren in nie dagewesener Wirtschaftlichkeit. Dank dieser Vernetzung sind sowohl ein umfassendes Monitoring und Energiemanagement als auch eine vorausschauende Wartung möglich.</w:t>
      </w:r>
    </w:p>
    <w:p w:rsidR="002821F2" w:rsidRDefault="002821F2" w:rsidP="002821F2">
      <w:pPr>
        <w:spacing w:after="240" w:line="200" w:lineRule="atLeast"/>
      </w:pPr>
      <w:r>
        <w:t>Zu finden ist Kaeser in Halle 8, Stand C4</w:t>
      </w:r>
    </w:p>
    <w:p w:rsidR="002821F2" w:rsidRPr="00695D94" w:rsidRDefault="002821F2" w:rsidP="002821F2">
      <w:pPr>
        <w:spacing w:after="240" w:line="360" w:lineRule="auto"/>
      </w:pPr>
    </w:p>
    <w:p w:rsidR="002821F2" w:rsidRPr="00695D94" w:rsidRDefault="002821F2" w:rsidP="002821F2">
      <w:pPr>
        <w:pBdr>
          <w:bottom w:val="single" w:sz="4" w:space="1" w:color="auto"/>
        </w:pBdr>
      </w:pPr>
      <w:r>
        <w:t>A</w:t>
      </w:r>
      <w:r w:rsidRPr="00695D94">
        <w:t>bdruck frei, Beleg wäre schön</w:t>
      </w:r>
    </w:p>
    <w:p w:rsidR="002821F2" w:rsidRDefault="002821F2" w:rsidP="002821F2">
      <w:pPr>
        <w:autoSpaceDE w:val="0"/>
        <w:autoSpaceDN w:val="0"/>
        <w:adjustRightInd w:val="0"/>
        <w:spacing w:before="432" w:line="432" w:lineRule="atLeast"/>
        <w:textAlignment w:val="center"/>
        <w:rPr>
          <w:rFonts w:eastAsia="Calibri" w:cs="Arial"/>
          <w:bCs/>
          <w:color w:val="000000"/>
          <w:szCs w:val="24"/>
          <w:lang w:eastAsia="en-US"/>
        </w:rPr>
      </w:pPr>
      <w:r w:rsidRPr="00695D94">
        <w:rPr>
          <w:rFonts w:eastAsia="Calibri" w:cs="Arial"/>
          <w:bCs/>
          <w:color w:val="000000"/>
          <w:szCs w:val="24"/>
          <w:lang w:eastAsia="en-US"/>
        </w:rPr>
        <w:t xml:space="preserve">Bilder: </w:t>
      </w:r>
    </w:p>
    <w:p w:rsidR="002821F2" w:rsidRPr="00695D94" w:rsidRDefault="002821F2" w:rsidP="002821F2">
      <w:pPr>
        <w:autoSpaceDE w:val="0"/>
        <w:autoSpaceDN w:val="0"/>
        <w:adjustRightInd w:val="0"/>
        <w:spacing w:before="432" w:line="432" w:lineRule="atLeast"/>
        <w:textAlignment w:val="center"/>
        <w:rPr>
          <w:rFonts w:eastAsia="Calibri" w:cs="Arial"/>
          <w:bCs/>
          <w:color w:val="000000"/>
          <w:szCs w:val="24"/>
          <w:lang w:eastAsia="en-US"/>
        </w:rPr>
      </w:pPr>
    </w:p>
    <w:p w:rsidR="002821F2" w:rsidRDefault="002821F2" w:rsidP="002821F2">
      <w:pPr>
        <w:spacing w:after="120" w:line="360" w:lineRule="auto"/>
      </w:pPr>
    </w:p>
    <w:p w:rsidR="002821F2" w:rsidRDefault="002821F2" w:rsidP="002821F2">
      <w:pPr>
        <w:spacing w:after="120" w:line="360" w:lineRule="auto"/>
      </w:pPr>
    </w:p>
    <w:p w:rsidR="002821F2" w:rsidRDefault="002821F2" w:rsidP="002821F2">
      <w:pPr>
        <w:rPr>
          <w:rFonts w:cs="Arial"/>
          <w:szCs w:val="24"/>
        </w:rPr>
      </w:pPr>
    </w:p>
    <w:p w:rsidR="002821F2" w:rsidRDefault="002821F2" w:rsidP="002821F2">
      <w:pPr>
        <w:rPr>
          <w:rFonts w:cs="Arial"/>
          <w:szCs w:val="24"/>
        </w:rPr>
      </w:pPr>
      <w:r>
        <w:rPr>
          <w:noProof/>
        </w:rPr>
        <w:drawing>
          <wp:inline distT="0" distB="0" distL="0" distR="0" wp14:anchorId="51A64AE8" wp14:editId="739479E4">
            <wp:extent cx="1478280" cy="1045377"/>
            <wp:effectExtent l="0" t="0" r="762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703" cy="1059819"/>
                    </a:xfrm>
                    <a:prstGeom prst="rect">
                      <a:avLst/>
                    </a:prstGeom>
                    <a:noFill/>
                    <a:ln>
                      <a:noFill/>
                    </a:ln>
                  </pic:spPr>
                </pic:pic>
              </a:graphicData>
            </a:graphic>
          </wp:inline>
        </w:drawing>
      </w:r>
      <w:r>
        <w:rPr>
          <w:rFonts w:cs="Arial"/>
          <w:szCs w:val="24"/>
        </w:rPr>
        <w:t xml:space="preserve"> </w:t>
      </w:r>
      <w:r>
        <w:rPr>
          <w:noProof/>
        </w:rPr>
        <w:drawing>
          <wp:inline distT="0" distB="0" distL="0" distR="0" wp14:anchorId="22152833" wp14:editId="20B3F67C">
            <wp:extent cx="1487024" cy="10515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703" cy="1069012"/>
                    </a:xfrm>
                    <a:prstGeom prst="rect">
                      <a:avLst/>
                    </a:prstGeom>
                    <a:noFill/>
                    <a:ln>
                      <a:noFill/>
                    </a:ln>
                  </pic:spPr>
                </pic:pic>
              </a:graphicData>
            </a:graphic>
          </wp:inline>
        </w:drawing>
      </w:r>
    </w:p>
    <w:p w:rsidR="002821F2" w:rsidRDefault="002821F2" w:rsidP="002821F2">
      <w:pPr>
        <w:rPr>
          <w:rFonts w:cs="Arial"/>
          <w:szCs w:val="24"/>
        </w:rPr>
      </w:pPr>
    </w:p>
    <w:p w:rsidR="002821F2" w:rsidRPr="00C13260" w:rsidRDefault="002821F2" w:rsidP="002821F2">
      <w:r>
        <w:rPr>
          <w:rFonts w:cs="Arial"/>
          <w:szCs w:val="24"/>
        </w:rPr>
        <w:t xml:space="preserve">Die CSG-Baureihe (rechts mit integriertem Rotationstrockner </w:t>
      </w:r>
      <w:proofErr w:type="spellStart"/>
      <w:r>
        <w:rPr>
          <w:rFonts w:cs="Arial"/>
          <w:szCs w:val="24"/>
        </w:rPr>
        <w:t>i.HOC</w:t>
      </w:r>
      <w:proofErr w:type="spellEnd"/>
      <w:r>
        <w:rPr>
          <w:rFonts w:cs="Arial"/>
          <w:szCs w:val="24"/>
        </w:rPr>
        <w:t xml:space="preserve">) liefert zuverlässig und effizient Druckluft für </w:t>
      </w:r>
      <w:proofErr w:type="spellStart"/>
      <w:r>
        <w:rPr>
          <w:rFonts w:cs="Arial"/>
          <w:szCs w:val="24"/>
        </w:rPr>
        <w:t>ölfreie</w:t>
      </w:r>
      <w:proofErr w:type="spellEnd"/>
      <w:r>
        <w:rPr>
          <w:rFonts w:cs="Arial"/>
          <w:szCs w:val="24"/>
        </w:rPr>
        <w:t xml:space="preserve"> Anwendungen.</w:t>
      </w:r>
    </w:p>
    <w:p w:rsidR="002821F2" w:rsidRDefault="002821F2" w:rsidP="002821F2">
      <w:pPr>
        <w:spacing w:after="120" w:line="360" w:lineRule="auto"/>
      </w:pPr>
    </w:p>
    <w:p w:rsidR="002821F2" w:rsidRDefault="002821F2" w:rsidP="002821F2">
      <w:pPr>
        <w:spacing w:after="120" w:line="360" w:lineRule="auto"/>
      </w:pPr>
    </w:p>
    <w:p w:rsidR="002821F2" w:rsidRDefault="002821F2" w:rsidP="002821F2">
      <w:pPr>
        <w:pStyle w:val="MEHead"/>
        <w:spacing w:after="0"/>
        <w:rPr>
          <w:b w:val="0"/>
          <w:sz w:val="24"/>
          <w:szCs w:val="24"/>
        </w:rPr>
      </w:pPr>
      <w:r>
        <w:rPr>
          <w:noProof/>
        </w:rPr>
        <w:drawing>
          <wp:inline distT="0" distB="0" distL="0" distR="0" wp14:anchorId="3303B13D" wp14:editId="2FB341DC">
            <wp:extent cx="659130" cy="590550"/>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 cy="590550"/>
                    </a:xfrm>
                    <a:prstGeom prst="rect">
                      <a:avLst/>
                    </a:prstGeom>
                    <a:noFill/>
                    <a:ln>
                      <a:noFill/>
                    </a:ln>
                  </pic:spPr>
                </pic:pic>
              </a:graphicData>
            </a:graphic>
          </wp:inline>
        </w:drawing>
      </w:r>
      <w:r>
        <w:rPr>
          <w:b w:val="0"/>
          <w:sz w:val="24"/>
          <w:szCs w:val="24"/>
        </w:rPr>
        <w:t xml:space="preserve"> </w:t>
      </w:r>
      <w:r>
        <w:rPr>
          <w:noProof/>
        </w:rPr>
        <w:drawing>
          <wp:inline distT="0" distB="0" distL="0" distR="0" wp14:anchorId="0AF26074" wp14:editId="0F6AF937">
            <wp:extent cx="838200" cy="5905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a:ln>
                      <a:noFill/>
                    </a:ln>
                  </pic:spPr>
                </pic:pic>
              </a:graphicData>
            </a:graphic>
          </wp:inline>
        </w:drawing>
      </w:r>
    </w:p>
    <w:p w:rsidR="002821F2" w:rsidRDefault="002821F2" w:rsidP="002821F2">
      <w:pPr>
        <w:pStyle w:val="MEHead"/>
        <w:spacing w:before="0" w:after="0" w:line="240" w:lineRule="auto"/>
        <w:rPr>
          <w:b w:val="0"/>
          <w:sz w:val="24"/>
          <w:szCs w:val="24"/>
        </w:rPr>
      </w:pPr>
    </w:p>
    <w:p w:rsidR="002821F2" w:rsidRDefault="002821F2" w:rsidP="002821F2">
      <w:pPr>
        <w:pStyle w:val="MEHead"/>
        <w:spacing w:before="0" w:after="0" w:line="240" w:lineRule="auto"/>
        <w:rPr>
          <w:b w:val="0"/>
          <w:sz w:val="24"/>
          <w:szCs w:val="24"/>
        </w:rPr>
      </w:pPr>
      <w:r>
        <w:rPr>
          <w:b w:val="0"/>
          <w:sz w:val="24"/>
          <w:szCs w:val="24"/>
        </w:rPr>
        <w:t xml:space="preserve">Hohe Effizienz und geringer Platzbedarf – damit glänzen die Schraubengebläse der EBS-Serie. </w:t>
      </w:r>
    </w:p>
    <w:p w:rsidR="002821F2" w:rsidRDefault="002821F2" w:rsidP="002821F2">
      <w:bookmarkStart w:id="0" w:name="_GoBack"/>
      <w:bookmarkEnd w:id="0"/>
    </w:p>
    <w:p w:rsidR="002821F2" w:rsidRDefault="002821F2" w:rsidP="002821F2">
      <w:pPr>
        <w:pStyle w:val="MEHead"/>
        <w:spacing w:after="0" w:line="200" w:lineRule="atLeast"/>
        <w:rPr>
          <w:b w:val="0"/>
          <w:sz w:val="24"/>
          <w:szCs w:val="24"/>
        </w:rPr>
      </w:pPr>
      <w:r>
        <w:rPr>
          <w:b w:val="0"/>
          <w:noProof/>
          <w:sz w:val="24"/>
          <w:szCs w:val="24"/>
          <w:lang w:eastAsia="de-DE"/>
        </w:rPr>
        <w:drawing>
          <wp:inline distT="0" distB="0" distL="0" distR="0" wp14:anchorId="15E779DE" wp14:editId="6C3AE6AE">
            <wp:extent cx="2131200" cy="150840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ma_Air_Manager_4_0_Revis3D_0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1200" cy="1508400"/>
                    </a:xfrm>
                    <a:prstGeom prst="rect">
                      <a:avLst/>
                    </a:prstGeom>
                  </pic:spPr>
                </pic:pic>
              </a:graphicData>
            </a:graphic>
          </wp:inline>
        </w:drawing>
      </w:r>
    </w:p>
    <w:p w:rsidR="002821F2" w:rsidRDefault="002821F2" w:rsidP="002821F2">
      <w:pPr>
        <w:pStyle w:val="MEHead"/>
        <w:spacing w:before="0" w:after="0" w:line="200" w:lineRule="atLeast"/>
        <w:rPr>
          <w:b w:val="0"/>
          <w:sz w:val="24"/>
          <w:szCs w:val="24"/>
        </w:rPr>
      </w:pPr>
    </w:p>
    <w:p w:rsidR="002821F2" w:rsidRDefault="002821F2" w:rsidP="002821F2">
      <w:pPr>
        <w:spacing w:line="200" w:lineRule="atLeast"/>
        <w:rPr>
          <w:rFonts w:ascii="Calibri" w:hAnsi="Calibri"/>
          <w:sz w:val="22"/>
        </w:rPr>
      </w:pPr>
      <w:r>
        <w:t>SAM 4.0: der Sigma Air Manager 4.0 (SAM 4.0) überwacht und steuert nicht nur hocheffizient alle Komponenten einer Druckluftstation, er macht sie auch fit für Industrie 4.0</w:t>
      </w:r>
    </w:p>
    <w:p w:rsidR="003C5323" w:rsidRPr="002821F2" w:rsidRDefault="003C5323" w:rsidP="002821F2"/>
    <w:sectPr w:rsidR="003C5323" w:rsidRPr="002821F2" w:rsidSect="0026163F">
      <w:headerReference w:type="even" r:id="rId12"/>
      <w:headerReference w:type="default" r:id="rId13"/>
      <w:footerReference w:type="default" r:id="rId14"/>
      <w:headerReference w:type="first" r:id="rId15"/>
      <w:footerReference w:type="first" r:id="rId16"/>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2821F2">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2821F2"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2821F2"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821F2"/>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061C867"/>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21F2"/>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MEHead">
    <w:name w:val="M+E Head"/>
    <w:basedOn w:val="Standard"/>
    <w:link w:val="MEHeadZchn"/>
    <w:uiPriority w:val="1"/>
    <w:qFormat/>
    <w:rsid w:val="002821F2"/>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2821F2"/>
    <w:rPr>
      <w:rFonts w:ascii="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D69FB-3890-48F1-81C1-A055A943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1733</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2024-05-22T11:30:00Z</dcterms:created>
  <dcterms:modified xsi:type="dcterms:W3CDTF">2024-05-22T11:30:00Z</dcterms:modified>
</cp:coreProperties>
</file>