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9D6" w:rsidRDefault="00DB59D6" w:rsidP="00DB59D6">
      <w:pPr>
        <w:spacing w:after="240" w:line="200" w:lineRule="atLeast"/>
        <w:rPr>
          <w:rFonts w:ascii="Arial" w:eastAsia="Times New Roman" w:hAnsi="Arial" w:cs="Arial"/>
          <w:b/>
          <w:color w:val="000000"/>
          <w:sz w:val="28"/>
          <w:szCs w:val="28"/>
          <w:lang w:eastAsia="de-DE"/>
        </w:rPr>
      </w:pPr>
      <w:r>
        <w:rPr>
          <w:rFonts w:ascii="Arial" w:eastAsia="Times New Roman" w:hAnsi="Arial" w:cs="Arial"/>
          <w:b/>
          <w:color w:val="000000"/>
          <w:sz w:val="28"/>
          <w:szCs w:val="28"/>
          <w:lang w:eastAsia="de-DE"/>
        </w:rPr>
        <w:t xml:space="preserve">Nachverdichter auch für kleinere Leistungen </w:t>
      </w:r>
    </w:p>
    <w:p w:rsidR="00DB59D6" w:rsidRDefault="00DB59D6" w:rsidP="00DB59D6">
      <w:pPr>
        <w:spacing w:after="240" w:line="200" w:lineRule="atLeast"/>
        <w:rPr>
          <w:rFonts w:ascii="Arial" w:eastAsia="Times New Roman" w:hAnsi="Arial" w:cs="Arial"/>
          <w:b/>
          <w:color w:val="000000"/>
          <w:sz w:val="52"/>
          <w:szCs w:val="52"/>
          <w:lang w:eastAsia="de-DE"/>
        </w:rPr>
      </w:pPr>
      <w:r>
        <w:rPr>
          <w:rFonts w:ascii="Arial" w:eastAsia="Times New Roman" w:hAnsi="Arial" w:cs="Arial"/>
          <w:b/>
          <w:color w:val="000000"/>
          <w:sz w:val="52"/>
          <w:szCs w:val="52"/>
          <w:lang w:eastAsia="de-DE"/>
        </w:rPr>
        <w:t xml:space="preserve">Druckluft bis 45 bar wirtschaftlich erzeugen </w:t>
      </w:r>
    </w:p>
    <w:p w:rsidR="00DB59D6" w:rsidRDefault="00DB59D6" w:rsidP="00DB59D6">
      <w:pPr>
        <w:spacing w:after="240" w:line="200" w:lineRule="atLeast"/>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 xml:space="preserve">In Anwendungsfällen, die neben normaler Steuer- und Arbeitsluft auch höher komprimierte Prozessluft erfordern, ist der Einsatz von Nachverdichtern sinnvoll. Der früher übliche Maximaldruck dieser Kompressoren von 40 bar reicht aber heute für viele Anwendungen, wie z. B. die Produktion von PET-Behältern, nicht mehr aus. Kaeser bietet daher mit seiner N-Baureihe Nachverdichter an, mit denen sich vorverdichtete Luft anwendungsgerecht, zuverlässig und kostengünstig auf bis zu 45 bar (ü) komprimieren lässt. </w:t>
      </w:r>
    </w:p>
    <w:p w:rsidR="00DB59D6" w:rsidRDefault="00DB59D6" w:rsidP="00DB59D6">
      <w:pPr>
        <w:spacing w:after="240" w:line="200" w:lineRule="atLeast"/>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Das fein abgestufte Programm deckt einen Leistungsbereich</w:t>
      </w:r>
      <w:r>
        <w:rPr>
          <w:rFonts w:ascii="Arial" w:eastAsia="Times New Roman" w:hAnsi="Arial" w:cs="Arial"/>
          <w:strike/>
          <w:color w:val="000000"/>
          <w:sz w:val="24"/>
          <w:szCs w:val="24"/>
          <w:lang w:eastAsia="de-DE"/>
        </w:rPr>
        <w:t xml:space="preserve"> </w:t>
      </w:r>
      <w:r>
        <w:rPr>
          <w:rFonts w:ascii="Arial" w:eastAsia="Times New Roman" w:hAnsi="Arial" w:cs="Arial"/>
          <w:color w:val="000000"/>
          <w:sz w:val="24"/>
          <w:szCs w:val="24"/>
          <w:lang w:eastAsia="de-DE"/>
        </w:rPr>
        <w:t xml:space="preserve">bis 18,5 kW ab. Mit den Modellen N 253-G, N 351-G und N 502-G in Zweizylinderausführung stehen nun auch im kleineren Leistungsbereich von 7,5 bis 18,5 kW effiziente Nachverdichter für Druckluft bis 45 bar zur Verfügung. Die Nachverdichter der N-Baureihe sind zweizylindrige Kolbenkompressoren, die mit sehr niedrigen Drehzahlen von 740 bis 1320 min-1 und Leistungen von 7,5 bis 18,5 kW arbeiten. Der mögliche Vordruck beträgt 5 bis 13, der </w:t>
      </w:r>
      <w:proofErr w:type="spellStart"/>
      <w:r>
        <w:rPr>
          <w:rFonts w:ascii="Arial" w:eastAsia="Times New Roman" w:hAnsi="Arial" w:cs="Arial"/>
          <w:color w:val="000000"/>
          <w:sz w:val="24"/>
          <w:szCs w:val="24"/>
          <w:lang w:eastAsia="de-DE"/>
        </w:rPr>
        <w:t>Enddruck</w:t>
      </w:r>
      <w:proofErr w:type="spellEnd"/>
      <w:r>
        <w:rPr>
          <w:rFonts w:ascii="Arial" w:eastAsia="Times New Roman" w:hAnsi="Arial" w:cs="Arial"/>
          <w:color w:val="000000"/>
          <w:sz w:val="24"/>
          <w:szCs w:val="24"/>
          <w:lang w:eastAsia="de-DE"/>
        </w:rPr>
        <w:t xml:space="preserve"> maximal 45 bar, der Volumenstrom liegt zwischen 0,99 bis 5,49 m³/min. Für optimierte Kraftübertragung vom Motor auf den </w:t>
      </w:r>
      <w:proofErr w:type="spellStart"/>
      <w:r>
        <w:rPr>
          <w:rFonts w:ascii="Arial" w:eastAsia="Times New Roman" w:hAnsi="Arial" w:cs="Arial"/>
          <w:color w:val="000000"/>
          <w:sz w:val="24"/>
          <w:szCs w:val="24"/>
          <w:lang w:eastAsia="de-DE"/>
        </w:rPr>
        <w:t>Kompressorblock</w:t>
      </w:r>
      <w:proofErr w:type="spellEnd"/>
      <w:r>
        <w:rPr>
          <w:rFonts w:ascii="Arial" w:eastAsia="Times New Roman" w:hAnsi="Arial" w:cs="Arial"/>
          <w:color w:val="000000"/>
          <w:sz w:val="24"/>
          <w:szCs w:val="24"/>
          <w:lang w:eastAsia="de-DE"/>
        </w:rPr>
        <w:t xml:space="preserve"> und verringerten Wartungsbedarf sorgt bei den Zweizylinderversionen ein Riemenantrieb mit manueller Nachspannung. Zusätzlich energiesparend wirkt sich die effiziente Leerlauf-Aussetzregelung aus: Sie ermöglicht eine sehr genaue und damit wirtschaftliche Anpassung der </w:t>
      </w:r>
      <w:proofErr w:type="spellStart"/>
      <w:r>
        <w:rPr>
          <w:rFonts w:ascii="Arial" w:eastAsia="Times New Roman" w:hAnsi="Arial" w:cs="Arial"/>
          <w:color w:val="000000"/>
          <w:sz w:val="24"/>
          <w:szCs w:val="24"/>
          <w:lang w:eastAsia="de-DE"/>
        </w:rPr>
        <w:t>Kompressorleistung</w:t>
      </w:r>
      <w:proofErr w:type="spellEnd"/>
      <w:r>
        <w:rPr>
          <w:rFonts w:ascii="Arial" w:eastAsia="Times New Roman" w:hAnsi="Arial" w:cs="Arial"/>
          <w:color w:val="000000"/>
          <w:sz w:val="24"/>
          <w:szCs w:val="24"/>
          <w:lang w:eastAsia="de-DE"/>
        </w:rPr>
        <w:t xml:space="preserve"> an den jeweils erforderlichen Druckluftbedarf. Spezielle, in das Antriebsriemen-Schutzgitter integrierte Luftleitbleche gewährleisten eine hervorragende </w:t>
      </w:r>
      <w:proofErr w:type="spellStart"/>
      <w:r>
        <w:rPr>
          <w:rFonts w:ascii="Arial" w:eastAsia="Times New Roman" w:hAnsi="Arial" w:cs="Arial"/>
          <w:color w:val="000000"/>
          <w:sz w:val="24"/>
          <w:szCs w:val="24"/>
          <w:lang w:eastAsia="de-DE"/>
        </w:rPr>
        <w:t>Kompressorkühlung</w:t>
      </w:r>
      <w:proofErr w:type="spellEnd"/>
      <w:r>
        <w:rPr>
          <w:rFonts w:ascii="Arial" w:eastAsia="Times New Roman" w:hAnsi="Arial" w:cs="Arial"/>
          <w:color w:val="000000"/>
          <w:sz w:val="24"/>
          <w:szCs w:val="24"/>
          <w:lang w:eastAsia="de-DE"/>
        </w:rPr>
        <w:t>. Optimale Temperaturbedingungen für nachgeschaltete Aufbereitungsgeräte schafft bei den Zweizylinderaggregaten ein groß dimensionierter luftgekühlter</w:t>
      </w:r>
      <w:r>
        <w:rPr>
          <w:rFonts w:ascii="Arial" w:eastAsia="Times New Roman" w:hAnsi="Arial" w:cs="Arial"/>
          <w:strike/>
          <w:color w:val="000000"/>
          <w:sz w:val="24"/>
          <w:szCs w:val="24"/>
          <w:lang w:eastAsia="de-DE"/>
        </w:rPr>
        <w:t>.</w:t>
      </w:r>
      <w:r>
        <w:rPr>
          <w:rFonts w:ascii="Arial" w:eastAsia="Times New Roman" w:hAnsi="Arial" w:cs="Arial"/>
          <w:color w:val="000000"/>
          <w:sz w:val="24"/>
          <w:szCs w:val="24"/>
          <w:lang w:eastAsia="de-DE"/>
        </w:rPr>
        <w:t xml:space="preserve"> Druckluftnachkühler. </w:t>
      </w:r>
    </w:p>
    <w:p w:rsidR="00DB59D6" w:rsidRDefault="00DB59D6" w:rsidP="00DB59D6">
      <w:pPr>
        <w:spacing w:after="240" w:line="200" w:lineRule="atLeast"/>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Die Kombination dieser Nachverdichter mit den energiesparenden Kaeser-Schraubenkompressoren erlaubt es, wirtschaftliche Versorgungskonzepte für verschiedenste Druckluftanwendungen im Druckbereich bis 45 bar zu verwirklichen. Ein typisches Einsatzgebiet ist die Druckluftversorgung von Anlagen zur PET-Behälterproduktion. Kaeser bietet dafür auch schlüsselfertige Komplettlösungen unter der Bezeichnung „Sigma PET Air“ an.  </w:t>
      </w:r>
    </w:p>
    <w:p w:rsidR="00DB59D6" w:rsidRDefault="00DB59D6" w:rsidP="00DB59D6">
      <w:pPr>
        <w:spacing w:after="0" w:line="200" w:lineRule="atLeast"/>
        <w:rPr>
          <w:rFonts w:ascii="Arial" w:eastAsia="Times New Roman" w:hAnsi="Arial" w:cs="Arial"/>
          <w:color w:val="000000"/>
          <w:sz w:val="24"/>
          <w:szCs w:val="20"/>
          <w:lang w:eastAsia="de-DE"/>
        </w:rPr>
      </w:pPr>
      <w:r>
        <w:rPr>
          <w:rFonts w:ascii="Arial" w:eastAsia="Times New Roman" w:hAnsi="Arial" w:cs="Arial"/>
          <w:color w:val="000000"/>
          <w:sz w:val="24"/>
          <w:szCs w:val="20"/>
          <w:lang w:eastAsia="de-DE"/>
        </w:rPr>
        <w:t>Abdruck frei, Beleg erbeten</w:t>
      </w:r>
    </w:p>
    <w:p w:rsidR="005B7F81" w:rsidRDefault="005B7F81" w:rsidP="005B7F81">
      <w:pPr>
        <w:pBdr>
          <w:top w:val="single" w:sz="4" w:space="1" w:color="auto"/>
        </w:pBdr>
        <w:spacing w:after="0" w:line="200" w:lineRule="atLeast"/>
        <w:rPr>
          <w:rFonts w:ascii="Arial" w:eastAsia="Times New Roman" w:hAnsi="Arial" w:cs="Arial"/>
          <w:color w:val="000000"/>
          <w:sz w:val="24"/>
          <w:szCs w:val="20"/>
          <w:lang w:eastAsia="de-DE"/>
        </w:rPr>
      </w:pPr>
      <w:bookmarkStart w:id="0" w:name="_GoBack"/>
      <w:bookmarkEnd w:id="0"/>
    </w:p>
    <w:p w:rsidR="00DB59D6" w:rsidRDefault="00DB59D6" w:rsidP="00DB59D6">
      <w:pPr>
        <w:spacing w:after="240" w:line="200" w:lineRule="atLeast"/>
        <w:rPr>
          <w:rFonts w:ascii="Arial" w:eastAsia="Times New Roman" w:hAnsi="Arial" w:cs="Arial"/>
          <w:color w:val="000000"/>
          <w:sz w:val="24"/>
          <w:szCs w:val="24"/>
          <w:lang w:eastAsia="de-DE"/>
        </w:rPr>
      </w:pPr>
    </w:p>
    <w:tbl>
      <w:tblPr>
        <w:tblW w:w="2510" w:type="pct"/>
        <w:tblCellSpacing w:w="52" w:type="dxa"/>
        <w:tblCellMar>
          <w:left w:w="0" w:type="dxa"/>
          <w:right w:w="0" w:type="dxa"/>
        </w:tblCellMar>
        <w:tblLook w:val="04A0" w:firstRow="1" w:lastRow="0" w:firstColumn="1" w:lastColumn="0" w:noHBand="0" w:noVBand="1"/>
      </w:tblPr>
      <w:tblGrid>
        <w:gridCol w:w="4553"/>
      </w:tblGrid>
      <w:tr w:rsidR="00DB59D6" w:rsidTr="002748C2">
        <w:trPr>
          <w:tblCellSpacing w:w="52" w:type="dxa"/>
        </w:trPr>
        <w:tc>
          <w:tcPr>
            <w:tcW w:w="0" w:type="auto"/>
            <w:hideMark/>
          </w:tcPr>
          <w:p w:rsidR="00DB59D6" w:rsidRDefault="00DB59D6" w:rsidP="002748C2">
            <w:pPr>
              <w:spacing w:after="240" w:line="200" w:lineRule="atLeast"/>
              <w:rPr>
                <w:rFonts w:ascii="Arial" w:eastAsia="Times New Roman" w:hAnsi="Arial" w:cs="Arial"/>
                <w:color w:val="000000"/>
                <w:sz w:val="18"/>
                <w:szCs w:val="18"/>
                <w:lang w:eastAsia="de-DE"/>
              </w:rPr>
            </w:pPr>
            <w:r>
              <w:rPr>
                <w:rFonts w:ascii="Arial" w:eastAsia="Times New Roman" w:hAnsi="Arial" w:cs="Arial"/>
                <w:noProof/>
                <w:color w:val="000000"/>
                <w:sz w:val="18"/>
                <w:szCs w:val="18"/>
                <w:lang w:eastAsia="de-DE"/>
              </w:rPr>
              <w:lastRenderedPageBreak/>
              <w:drawing>
                <wp:inline distT="0" distB="0" distL="0" distR="0" wp14:anchorId="10628D63" wp14:editId="2FD6CEF4">
                  <wp:extent cx="1512570" cy="1005840"/>
                  <wp:effectExtent l="0" t="0" r="0" b="3810"/>
                  <wp:docPr id="1" name="Grafik 1" descr="N351G15_FR_15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351G15_FR_15_C"/>
                          <pic:cNvPicPr>
                            <a:picLocks noChangeAspect="1" noChangeArrowheads="1"/>
                          </pic:cNvPicPr>
                        </pic:nvPicPr>
                        <pic:blipFill>
                          <a:blip r:embed="rId7">
                            <a:extLst>
                              <a:ext uri="{28A0092B-C50C-407E-A947-70E740481C1C}">
                                <a14:useLocalDpi xmlns:a14="http://schemas.microsoft.com/office/drawing/2010/main" val="0"/>
                              </a:ext>
                            </a:extLst>
                          </a:blip>
                          <a:srcRect t="6393"/>
                          <a:stretch>
                            <a:fillRect/>
                          </a:stretch>
                        </pic:blipFill>
                        <pic:spPr bwMode="auto">
                          <a:xfrm>
                            <a:off x="0" y="0"/>
                            <a:ext cx="1512570" cy="1005840"/>
                          </a:xfrm>
                          <a:prstGeom prst="rect">
                            <a:avLst/>
                          </a:prstGeom>
                          <a:noFill/>
                          <a:ln>
                            <a:noFill/>
                          </a:ln>
                        </pic:spPr>
                      </pic:pic>
                    </a:graphicData>
                  </a:graphic>
                </wp:inline>
              </w:drawing>
            </w:r>
          </w:p>
        </w:tc>
      </w:tr>
    </w:tbl>
    <w:p w:rsidR="00DB59D6" w:rsidRDefault="00DB59D6" w:rsidP="00DB59D6">
      <w:pPr>
        <w:spacing w:after="240" w:line="200" w:lineRule="atLeast"/>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Druckluft bis 45 bar liefern die Nachverdichter von Kaeser. Sie eignen sich für verschiedenste Einsatzfälle, wie z. B. die Druckluftversorgung von Anlagen zur PET-Flaschenproduktion, in denen es auf kostengünstige und energiesparende Erzeugung hoch verdichteter Druckluft ankommt.</w:t>
      </w:r>
    </w:p>
    <w:p w:rsidR="00DB59D6" w:rsidRDefault="00DB59D6" w:rsidP="00DB59D6">
      <w:pPr>
        <w:spacing w:after="240" w:line="200" w:lineRule="atLeast"/>
        <w:rPr>
          <w:rFonts w:ascii="Arial" w:hAnsi="Arial" w:cs="Arial"/>
          <w:sz w:val="24"/>
          <w:szCs w:val="24"/>
        </w:rPr>
      </w:pPr>
    </w:p>
    <w:p w:rsidR="00DB59D6" w:rsidRDefault="00DB59D6" w:rsidP="00DB59D6"/>
    <w:p w:rsidR="00DB59D6" w:rsidRPr="003F109D" w:rsidRDefault="00DB59D6" w:rsidP="00DB59D6"/>
    <w:p w:rsidR="003C5323" w:rsidRPr="00DB59D6" w:rsidRDefault="003C5323" w:rsidP="00DB59D6"/>
    <w:sectPr w:rsidR="003C5323" w:rsidRPr="00DB59D6"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5B7F8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5B7F81"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5B7F81"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5B7F81"/>
    <w:rsid w:val="00605C85"/>
    <w:rsid w:val="00780178"/>
    <w:rsid w:val="00937D46"/>
    <w:rsid w:val="00A52556"/>
    <w:rsid w:val="00AA1F98"/>
    <w:rsid w:val="00AD2867"/>
    <w:rsid w:val="00BE4E56"/>
    <w:rsid w:val="00C9170C"/>
    <w:rsid w:val="00CA1C81"/>
    <w:rsid w:val="00CD1046"/>
    <w:rsid w:val="00D73389"/>
    <w:rsid w:val="00DB59D6"/>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E4E9F89"/>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B59D6"/>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D754-4794-4FE0-AC93-80646ED8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2022-12-23T06:40:00Z</dcterms:created>
  <dcterms:modified xsi:type="dcterms:W3CDTF">2023-01-04T13:18:00Z</dcterms:modified>
</cp:coreProperties>
</file>